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S1-244223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Use case on sharing new types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of </w:t>
      </w:r>
      <w:r>
        <w:rPr>
          <w:rFonts w:hint="eastAsia" w:ascii="Arial" w:hAnsi="Arial" w:eastAsia="宋体"/>
          <w:sz w:val="24"/>
          <w:szCs w:val="24"/>
          <w:lang w:eastAsia="en-GB"/>
        </w:rPr>
        <w:t>resource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fldChar w:fldCharType="begin"/>
      </w:r>
      <w:r>
        <w:rPr>
          <w:rFonts w:ascii="Arial" w:hAnsi="Arial" w:eastAsia="宋体"/>
          <w:sz w:val="24"/>
          <w:szCs w:val="24"/>
          <w:lang w:eastAsia="en-GB"/>
        </w:rPr>
        <w:instrText xml:space="preserve"> HYPERLINK "mailto:huang.fenghe@zte.com.cn" </w:instrText>
      </w:r>
      <w:r>
        <w:rPr>
          <w:rFonts w:ascii="Arial" w:hAnsi="Arial" w:eastAsia="宋体"/>
          <w:sz w:val="24"/>
          <w:szCs w:val="24"/>
          <w:lang w:eastAsia="en-GB"/>
        </w:rPr>
        <w:fldChar w:fldCharType="separate"/>
      </w:r>
      <w:r>
        <w:rPr>
          <w:rStyle w:val="8"/>
          <w:rFonts w:ascii="Arial" w:hAnsi="Arial" w:eastAsia="宋体"/>
          <w:sz w:val="24"/>
          <w:szCs w:val="24"/>
          <w:lang w:eastAsia="en-GB"/>
        </w:rPr>
        <w:t>huang.fenghe@zte.com.cn</w:t>
      </w:r>
      <w:r>
        <w:rPr>
          <w:rFonts w:ascii="Arial" w:hAnsi="Arial" w:eastAsia="宋体"/>
          <w:sz w:val="24"/>
          <w:szCs w:val="24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en-GB"/>
        </w:rPr>
      </w:pP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                         </w:t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8"/>
          <w:rFonts w:ascii="Arial" w:hAnsi="Arial"/>
          <w:sz w:val="24"/>
          <w:szCs w:val="24"/>
          <w:lang w:eastAsia="en-GB"/>
        </w:rPr>
        <w:t>xu.ling@zte.com.cn</w:t>
      </w:r>
      <w:r>
        <w:rPr>
          <w:rStyle w:val="8"/>
          <w:rFonts w:ascii="Arial" w:hAnsi="Arial"/>
          <w:sz w:val="24"/>
          <w:szCs w:val="24"/>
          <w:lang w:eastAsia="en-GB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a new use case 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 xml:space="preserve">about sharing </w:t>
      </w:r>
      <w:r>
        <w:rPr>
          <w:rFonts w:hint="eastAsia" w:ascii="Arial" w:hAnsi="Arial" w:eastAsia="Calibri" w:cs="Arial"/>
          <w:i/>
          <w:sz w:val="22"/>
          <w:szCs w:val="22"/>
          <w:lang w:val="en-GB"/>
        </w:rPr>
        <w:t xml:space="preserve">new types 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 xml:space="preserve">of </w:t>
      </w:r>
      <w:r>
        <w:rPr>
          <w:rFonts w:hint="eastAsia" w:ascii="Arial" w:hAnsi="Arial" w:eastAsia="Calibri" w:cs="Arial"/>
          <w:i/>
          <w:sz w:val="22"/>
          <w:szCs w:val="22"/>
          <w:lang w:val="en-GB"/>
        </w:rPr>
        <w:t>resource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s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.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</w:p>
    <w:p>
      <w:bookmarkStart w:id="15" w:name="_GoBack"/>
      <w:bookmarkEnd w:id="15"/>
    </w:p>
    <w:p>
      <w:r>
        <w:t>---------- Use Case template ----------</w:t>
      </w:r>
    </w:p>
    <w:p>
      <w:pPr>
        <w:pStyle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GB"/>
        </w:rPr>
        <w:tab/>
      </w:r>
      <w:r>
        <w:rPr>
          <w:rFonts w:hint="eastAsia"/>
          <w:lang w:val="en-GB"/>
        </w:rPr>
        <w:t xml:space="preserve">Use case on </w:t>
      </w:r>
      <w:r>
        <w:rPr>
          <w:rFonts w:hint="eastAsia" w:eastAsia="宋体"/>
          <w:lang w:val="en-US" w:eastAsia="zh-CN"/>
        </w:rPr>
        <w:t xml:space="preserve">sharing </w:t>
      </w:r>
      <w:r>
        <w:rPr>
          <w:rFonts w:hint="eastAsia"/>
          <w:lang w:val="en-GB"/>
        </w:rPr>
        <w:t xml:space="preserve">new types </w:t>
      </w:r>
      <w:r>
        <w:rPr>
          <w:rFonts w:hint="eastAsia" w:eastAsia="宋体"/>
          <w:lang w:val="en-US" w:eastAsia="zh-CN"/>
        </w:rPr>
        <w:t xml:space="preserve">of </w:t>
      </w:r>
      <w:r>
        <w:rPr>
          <w:rFonts w:hint="eastAsia"/>
          <w:lang w:val="en-GB"/>
        </w:rPr>
        <w:t>resource</w:t>
      </w:r>
      <w:r>
        <w:rPr>
          <w:rFonts w:hint="eastAsia" w:eastAsia="宋体"/>
          <w:lang w:val="en-US" w:eastAsia="zh-CN"/>
        </w:rPr>
        <w:t>s</w:t>
      </w:r>
    </w:p>
    <w:p>
      <w:pPr>
        <w:pStyle w:val="3"/>
        <w:rPr>
          <w:lang w:val="en-GB"/>
        </w:rPr>
      </w:pPr>
      <w:bookmarkStart w:id="0" w:name="_Toc355779204"/>
      <w:bookmarkEnd w:id="0"/>
      <w:bookmarkStart w:id="1" w:name="_Toc354586742"/>
      <w:bookmarkEnd w:id="1"/>
      <w:bookmarkStart w:id="2" w:name="_Toc354590101"/>
      <w:bookmarkEnd w:id="2"/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x.1</w:t>
      </w:r>
      <w:r>
        <w:rPr>
          <w:lang w:val="en-GB"/>
        </w:rPr>
        <w:tab/>
      </w:r>
      <w:r>
        <w:rPr>
          <w:lang w:val="en-GB"/>
        </w:rPr>
        <w:t>Description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bookmarkStart w:id="3" w:name="_Toc355779205"/>
      <w:bookmarkEnd w:id="3"/>
      <w:bookmarkStart w:id="4" w:name="_Toc354590102"/>
      <w:bookmarkEnd w:id="4"/>
      <w:bookmarkStart w:id="5" w:name="_Toc354586743"/>
      <w:bookmarkEnd w:id="5"/>
      <w:r>
        <w:rPr>
          <w:rFonts w:hint="default" w:ascii="Times New Roman" w:hAnsi="Times New Roman" w:eastAsia="Times New Roman" w:cs="Times New Roman"/>
          <w:lang w:val="en-US" w:eastAsia="zh-CN"/>
        </w:rPr>
        <w:t>Vertical industries can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/>
        </w:rPr>
        <w:t>now offer several shareable new types of resources, such as computing power,</w:t>
      </w:r>
      <w:r>
        <w:rPr>
          <w:rFonts w:hint="default" w:ascii="Times New Roman" w:hAnsi="Times New Roman" w:eastAsia="Times New Roman" w:cs="Times New Roman"/>
          <w:strike w:val="0"/>
          <w:lang w:val="en-US" w:eastAsia="zh-CN"/>
        </w:rPr>
        <w:t xml:space="preserve"> storage capacity, and green energy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. These resources can be published via the 6G network </w:t>
      </w:r>
      <w:r>
        <w:rPr>
          <w:rFonts w:hint="default" w:cs="Times New Roman"/>
          <w:lang w:val="en-US" w:eastAsia="zh-CN"/>
        </w:rPr>
        <w:t>for sharing w</w:t>
      </w:r>
      <w:r>
        <w:rPr>
          <w:rFonts w:hint="eastAsia" w:cs="Times New Roman"/>
          <w:lang w:val="en-US" w:eastAsia="zh-CN"/>
        </w:rPr>
        <w:t xml:space="preserve">ith </w:t>
      </w:r>
      <w:r>
        <w:rPr>
          <w:rFonts w:hint="default" w:ascii="Times New Roman" w:hAnsi="Times New Roman" w:eastAsia="Times New Roman" w:cs="Times New Roman"/>
          <w:lang w:val="en-US" w:eastAsia="zh-CN"/>
        </w:rPr>
        <w:t>personal, home, and enterprise users.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default" w:ascii="Times New Roman" w:hAnsi="Times New Roman" w:eastAsia="Times New Roman" w:cs="Times New Roman"/>
          <w:lang w:val="en-US" w:eastAsia="zh-CN"/>
        </w:rPr>
        <w:t>The 6G system can serve as a secure and trusted platform for publishing, sharing, and settling</w:t>
      </w:r>
      <w:r>
        <w:rPr>
          <w:rFonts w:hint="eastAsia" w:cs="Times New Roman"/>
          <w:lang w:val="en-US" w:eastAsia="zh-CN"/>
        </w:rPr>
        <w:t xml:space="preserve"> these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resources. It can also verify the identities of providers</w:t>
      </w:r>
      <w:r>
        <w:rPr>
          <w:rFonts w:hint="eastAsia" w:cs="Times New Roman"/>
          <w:lang w:val="en-US" w:eastAsia="zh-CN"/>
        </w:rPr>
        <w:t xml:space="preserve"> and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evaluating their credibility based on past performance.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x.2</w:t>
      </w:r>
      <w:r>
        <w:rPr>
          <w:lang w:val="en-GB"/>
        </w:rPr>
        <w:tab/>
      </w:r>
      <w:r>
        <w:rPr>
          <w:lang w:val="en-GB"/>
        </w:rPr>
        <w:t>Pre-conditions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Enterprise A has established a digital factory equipped with high</w:t>
      </w:r>
      <w:r>
        <w:rPr>
          <w:rFonts w:hint="eastAsia" w:cs="Times New Roman"/>
          <w:lang w:val="en-US" w:eastAsia="zh-CN"/>
        </w:rPr>
        <w:t>-</w:t>
      </w:r>
      <w:r>
        <w:rPr>
          <w:rFonts w:hint="eastAsia" w:ascii="Times New Roman" w:hAnsi="Times New Roman" w:eastAsia="Times New Roman" w:cs="Times New Roman"/>
          <w:lang w:val="en-US" w:eastAsia="zh-CN"/>
        </w:rPr>
        <w:t>performance computing power, data storage devices, and green energy storage facilities.</w:t>
      </w:r>
      <w:r>
        <w:rPr>
          <w:rFonts w:hint="eastAsia" w:cs="Times New Roman"/>
          <w:lang w:val="en-US" w:eastAsia="zh-CN"/>
        </w:rPr>
        <w:t xml:space="preserve"> Additionally, Enterprise A is a trusted </w:t>
      </w:r>
      <w:r>
        <w:rPr>
          <w:rFonts w:hint="eastAsia" w:ascii="Times New Roman" w:hAnsi="Times New Roman" w:eastAsia="Times New Roman" w:cs="Times New Roman"/>
          <w:lang w:val="en-US" w:eastAsia="zh-CN"/>
        </w:rPr>
        <w:t>pre-registered</w:t>
      </w:r>
      <w:r>
        <w:rPr>
          <w:rFonts w:hint="eastAsia" w:cs="Times New Roman"/>
          <w:lang w:val="en-US" w:eastAsia="zh-CN"/>
        </w:rPr>
        <w:t xml:space="preserve"> resource provider for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operator </w:t>
      </w:r>
      <w:r>
        <w:rPr>
          <w:rFonts w:hint="eastAsia" w:cs="Times New Roman"/>
          <w:lang w:val="en-US" w:eastAsia="zh-CN"/>
        </w:rPr>
        <w:t>C.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Enterprise B is a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>subscriber to operator C.</w:t>
      </w:r>
    </w:p>
    <w:p>
      <w:pPr>
        <w:pStyle w:val="3"/>
        <w:rPr>
          <w:lang w:val="en-GB"/>
        </w:rPr>
      </w:pPr>
      <w:bookmarkStart w:id="6" w:name="_Toc354590103"/>
      <w:bookmarkEnd w:id="6"/>
      <w:bookmarkStart w:id="7" w:name="_Toc354586744"/>
      <w:bookmarkEnd w:id="7"/>
      <w:bookmarkStart w:id="8" w:name="_Toc355779206"/>
      <w:bookmarkEnd w:id="8"/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x.3</w:t>
      </w:r>
      <w:r>
        <w:rPr>
          <w:lang w:val="en-GB"/>
        </w:rPr>
        <w:tab/>
      </w:r>
      <w:r>
        <w:rPr>
          <w:lang w:val="en-GB"/>
        </w:rPr>
        <w:t>Service Flows</w:t>
      </w:r>
    </w:p>
    <w:p>
      <w:pPr>
        <w:jc w:val="center"/>
      </w:pPr>
      <w:r>
        <w:drawing>
          <wp:inline distT="0" distB="0" distL="114300" distR="114300">
            <wp:extent cx="4010025" cy="1847215"/>
            <wp:effectExtent l="0" t="0" r="1333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5.x.3 new types of resource sharing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During the off-peak production season, Enterprise A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wants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to dynamically rent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out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its computing and data storage resources while also offering its green energy resources for sale.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Enterprise A publishes its </w:t>
      </w:r>
      <w:r>
        <w:rPr>
          <w:rFonts w:hint="eastAsia" w:cs="Times New Roman"/>
          <w:i w:val="0"/>
          <w:iCs w:val="0"/>
          <w:color w:val="2C2C36"/>
          <w:spacing w:val="0"/>
          <w:sz w:val="20"/>
          <w:szCs w:val="20"/>
          <w:shd w:val="clear" w:fill="FFFFFF"/>
          <w:lang w:val="en-US" w:eastAsia="zh-CN"/>
        </w:rPr>
        <w:t>shareable resource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information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(e.g. </w:t>
      </w:r>
      <w:r>
        <w:rPr>
          <w:rFonts w:hint="eastAsia" w:cs="Times New Roman"/>
          <w:i w:val="0"/>
          <w:iCs w:val="0"/>
          <w:color w:val="2C2C36"/>
          <w:spacing w:val="0"/>
          <w:sz w:val="20"/>
          <w:szCs w:val="20"/>
          <w:shd w:val="clear" w:fill="FFFFFF"/>
          <w:lang w:val="en-US" w:eastAsia="zh-CN"/>
        </w:rPr>
        <w:t>capabilities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and a</w:t>
      </w:r>
      <w:r>
        <w:rPr>
          <w:rFonts w:hint="eastAsia" w:cs="Times New Roman"/>
          <w:i w:val="0"/>
          <w:iCs w:val="0"/>
          <w:color w:val="2C2C36"/>
          <w:spacing w:val="0"/>
          <w:sz w:val="20"/>
          <w:szCs w:val="20"/>
          <w:shd w:val="clear" w:fill="FFFFFF"/>
          <w:lang w:val="en-US" w:eastAsia="zh-CN"/>
        </w:rPr>
        <w:t>vailable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time）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and sales method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to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Operator C.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Enterprise B requests a service to Operator C for AI model training. Operator C responds this request, after checking the </w:t>
      </w:r>
      <w:r>
        <w:rPr>
          <w:rFonts w:hint="eastAsia" w:cs="Times New Roman"/>
          <w:i w:val="0"/>
          <w:iCs w:val="0"/>
          <w:color w:val="2C2C36"/>
          <w:spacing w:val="0"/>
          <w:sz w:val="20"/>
          <w:szCs w:val="20"/>
          <w:shd w:val="clear" w:fill="FFFFFF"/>
          <w:lang w:val="en-US" w:eastAsia="zh-CN"/>
        </w:rPr>
        <w:t>available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resources and the credibility rating of the provider, decides to </w:t>
      </w:r>
      <w:r>
        <w:rPr>
          <w:rFonts w:hint="eastAsia" w:cs="Times New Roman"/>
          <w:i w:val="0"/>
          <w:iC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utilize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data storage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computing resources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, and  green energy provided by Enterprise A.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After finishing computing training, Operator C send the result back to Enterprise B, and 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utiliz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e</w:t>
      </w:r>
      <w:r>
        <w:rPr>
          <w:rFonts w:hint="default" w:ascii="Times New Roman" w:hAnsi="Times New Roman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 xml:space="preserve"> an automated settlement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with Enterprise A.</w:t>
      </w:r>
    </w:p>
    <w:p/>
    <w:p>
      <w:pPr>
        <w:pStyle w:val="3"/>
        <w:rPr>
          <w:lang w:val="en-GB"/>
        </w:rPr>
      </w:pPr>
      <w:bookmarkStart w:id="9" w:name="_Toc354586745"/>
      <w:bookmarkEnd w:id="9"/>
      <w:bookmarkStart w:id="10" w:name="_Toc354590104"/>
      <w:bookmarkEnd w:id="10"/>
      <w:bookmarkStart w:id="11" w:name="_Toc355779207"/>
      <w:bookmarkEnd w:id="11"/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x.4</w:t>
      </w:r>
      <w:r>
        <w:rPr>
          <w:lang w:val="en-GB"/>
        </w:rPr>
        <w:tab/>
      </w:r>
      <w:r>
        <w:rPr>
          <w:lang w:val="en-GB"/>
        </w:rPr>
        <w:t>Post-conditions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Operator </w:t>
      </w:r>
      <w:r>
        <w:rPr>
          <w:rFonts w:hint="eastAsia"/>
        </w:rPr>
        <w:t xml:space="preserve">re-evaluated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lang w:val="en-US" w:eastAsia="zh-CN"/>
        </w:rPr>
        <w:t>credibility</w:t>
      </w:r>
      <w:r>
        <w:rPr>
          <w:rFonts w:hint="eastAsia" w:cs="Times New Roman"/>
          <w:lang w:val="en-US" w:eastAsia="zh-CN"/>
        </w:rPr>
        <w:t xml:space="preserve"> rating of Enterprise A based on the its resource usage information.</w:t>
      </w:r>
    </w:p>
    <w:p>
      <w:pPr>
        <w:pStyle w:val="3"/>
        <w:rPr>
          <w:lang w:val="en-GB"/>
        </w:rPr>
      </w:pPr>
      <w:bookmarkStart w:id="12" w:name="_Toc354590106"/>
      <w:bookmarkEnd w:id="12"/>
      <w:bookmarkStart w:id="13" w:name="_Toc355779209"/>
      <w:bookmarkEnd w:id="13"/>
      <w:bookmarkStart w:id="14" w:name="_Toc354586747"/>
      <w:bookmarkEnd w:id="14"/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x.5</w:t>
      </w:r>
      <w:r>
        <w:rPr>
          <w:lang w:val="en-GB"/>
        </w:rPr>
        <w:tab/>
      </w:r>
      <w:r>
        <w:rPr>
          <w:lang w:val="en-GB"/>
        </w:rPr>
        <w:t>Existing features partly or fully covering the use case functionality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5.</w:t>
      </w:r>
      <w:r>
        <w:rPr>
          <w:lang w:val="en-GB"/>
        </w:rPr>
        <w:t>x.6</w:t>
      </w:r>
      <w:r>
        <w:rPr>
          <w:lang w:val="en-GB"/>
        </w:rPr>
        <w:tab/>
      </w:r>
      <w:r>
        <w:rPr>
          <w:lang w:val="en-GB"/>
        </w:rPr>
        <w:t>Potential New Requirements needed to support the use case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[P.R.5.x.6-001]The 6G system </w:t>
      </w:r>
      <w:r>
        <w:rPr>
          <w:rFonts w:eastAsia="MS Mincho"/>
          <w:lang w:eastAsia="ja-JP"/>
        </w:rPr>
        <w:t xml:space="preserve">shall </w:t>
      </w:r>
      <w:r>
        <w:rPr>
          <w:rFonts w:hint="eastAsia" w:eastAsia="宋体"/>
          <w:lang w:val="en-US" w:eastAsia="zh-CN"/>
        </w:rPr>
        <w:t xml:space="preserve">be able to provide a </w:t>
      </w:r>
      <w:r>
        <w:t xml:space="preserve">suitable and secure means </w:t>
      </w:r>
      <w:r>
        <w:rPr>
          <w:rFonts w:hint="eastAsia" w:eastAsia="宋体"/>
          <w:lang w:val="en-US" w:eastAsia="zh-CN"/>
        </w:rPr>
        <w:t xml:space="preserve">for vertical industries to publish information about their specific resources(e.g., computing power, storage capacity, and green energy) to the operator.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NOTE:The published information may include details about resource capabilities and availability(e.g. times, locations).</w:t>
      </w:r>
    </w:p>
    <w:p>
      <w:pPr>
        <w:rPr>
          <w:rFonts w:hint="default" w:eastAsia="宋体"/>
          <w:strike/>
          <w:lang w:val="en-US" w:eastAsia="zh-CN"/>
        </w:rPr>
      </w:pPr>
      <w:r>
        <w:rPr>
          <w:rFonts w:hint="eastAsia" w:eastAsia="宋体"/>
          <w:strike w:val="0"/>
          <w:lang w:val="en-US" w:eastAsia="zh-CN"/>
        </w:rPr>
        <w:t>[P.R.</w:t>
      </w:r>
      <w:r>
        <w:rPr>
          <w:rFonts w:hint="eastAsia" w:eastAsia="宋体"/>
          <w:lang w:val="en-US" w:eastAsia="zh-CN"/>
        </w:rPr>
        <w:t>5.x</w:t>
      </w:r>
      <w:r>
        <w:rPr>
          <w:rFonts w:hint="eastAsia" w:eastAsia="宋体"/>
          <w:strike w:val="0"/>
          <w:lang w:val="en-US" w:eastAsia="zh-CN"/>
        </w:rPr>
        <w:t xml:space="preserve">.6-002]The 6G system shall be able to utilize </w:t>
      </w:r>
      <w:r>
        <w:rPr>
          <w:rFonts w:hint="eastAsia" w:eastAsia="宋体"/>
          <w:lang w:val="en-US" w:eastAsia="zh-CN"/>
        </w:rPr>
        <w:t>vertical industries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specific resources</w:t>
      </w:r>
      <w:r>
        <w:rPr>
          <w:rFonts w:hint="eastAsia" w:eastAsia="宋体"/>
          <w:strike w:val="0"/>
          <w:lang w:val="en-US" w:eastAsia="zh-CN"/>
        </w:rPr>
        <w:t xml:space="preserve"> to provide service.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[P.R.5.x.6-003]The 6G system shall provide a mechanism to </w:t>
      </w:r>
      <w:r>
        <w:rPr>
          <w:rFonts w:hint="eastAsia" w:cs="Times New Roman"/>
          <w:i w:val="0"/>
          <w:iCs w:val="0"/>
          <w:caps w:val="0"/>
          <w:color w:val="2C2C36"/>
          <w:spacing w:val="0"/>
          <w:sz w:val="20"/>
          <w:szCs w:val="20"/>
          <w:shd w:val="clear" w:fill="FFFFFF"/>
          <w:lang w:val="en-US" w:eastAsia="zh-CN"/>
        </w:rPr>
        <w:t>collect</w:t>
      </w:r>
      <w:r>
        <w:rPr>
          <w:rFonts w:hint="eastAsia" w:eastAsia="宋体"/>
          <w:lang w:val="en-US" w:eastAsia="zh-CN"/>
        </w:rPr>
        <w:t xml:space="preserve"> the usage information of vertical industries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specific resources for charging.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14425"/>
    <w:multiLevelType w:val="singleLevel"/>
    <w:tmpl w:val="C26144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331340"/>
    <w:rsid w:val="01846A5E"/>
    <w:rsid w:val="026F252B"/>
    <w:rsid w:val="02F1741B"/>
    <w:rsid w:val="037960C0"/>
    <w:rsid w:val="03B17D0C"/>
    <w:rsid w:val="03B2751E"/>
    <w:rsid w:val="03B675A4"/>
    <w:rsid w:val="04BE3120"/>
    <w:rsid w:val="04E44EEF"/>
    <w:rsid w:val="04F62134"/>
    <w:rsid w:val="05046046"/>
    <w:rsid w:val="054F5054"/>
    <w:rsid w:val="05EC3946"/>
    <w:rsid w:val="0663582F"/>
    <w:rsid w:val="070269DE"/>
    <w:rsid w:val="08421E63"/>
    <w:rsid w:val="097D0541"/>
    <w:rsid w:val="09951BA0"/>
    <w:rsid w:val="0A116C04"/>
    <w:rsid w:val="0A217411"/>
    <w:rsid w:val="0A646C30"/>
    <w:rsid w:val="0B4C4D17"/>
    <w:rsid w:val="0B9E129E"/>
    <w:rsid w:val="0BA62885"/>
    <w:rsid w:val="0BF1259B"/>
    <w:rsid w:val="0C3F01FC"/>
    <w:rsid w:val="0C647D62"/>
    <w:rsid w:val="0CB56867"/>
    <w:rsid w:val="0CDF2C80"/>
    <w:rsid w:val="0D1336AF"/>
    <w:rsid w:val="0D4A30B0"/>
    <w:rsid w:val="0D617E80"/>
    <w:rsid w:val="0D9D4C16"/>
    <w:rsid w:val="0EB43DAF"/>
    <w:rsid w:val="0F4946D1"/>
    <w:rsid w:val="0F5372FC"/>
    <w:rsid w:val="0F9A4F93"/>
    <w:rsid w:val="118925D3"/>
    <w:rsid w:val="125B6FC3"/>
    <w:rsid w:val="12B87FDB"/>
    <w:rsid w:val="137633DC"/>
    <w:rsid w:val="13A16959"/>
    <w:rsid w:val="14DD04F4"/>
    <w:rsid w:val="15E45152"/>
    <w:rsid w:val="16594774"/>
    <w:rsid w:val="1786501C"/>
    <w:rsid w:val="182249A5"/>
    <w:rsid w:val="18C1327D"/>
    <w:rsid w:val="19044F98"/>
    <w:rsid w:val="1A8844E0"/>
    <w:rsid w:val="1AAC5768"/>
    <w:rsid w:val="1AF36F98"/>
    <w:rsid w:val="1B48386D"/>
    <w:rsid w:val="1C816AA4"/>
    <w:rsid w:val="1C860F08"/>
    <w:rsid w:val="1E214C7C"/>
    <w:rsid w:val="1E2468A1"/>
    <w:rsid w:val="1E81151C"/>
    <w:rsid w:val="1F5704E9"/>
    <w:rsid w:val="1FC353AC"/>
    <w:rsid w:val="1FD168C0"/>
    <w:rsid w:val="20D21CE6"/>
    <w:rsid w:val="20F319B3"/>
    <w:rsid w:val="21362583"/>
    <w:rsid w:val="21A5115B"/>
    <w:rsid w:val="235A7FBB"/>
    <w:rsid w:val="23F15F84"/>
    <w:rsid w:val="26D0090E"/>
    <w:rsid w:val="26F800A2"/>
    <w:rsid w:val="27CF7DFD"/>
    <w:rsid w:val="287113E7"/>
    <w:rsid w:val="294A57BC"/>
    <w:rsid w:val="29606AF1"/>
    <w:rsid w:val="296E1870"/>
    <w:rsid w:val="297D7915"/>
    <w:rsid w:val="29BF1089"/>
    <w:rsid w:val="2A102562"/>
    <w:rsid w:val="2B076E3A"/>
    <w:rsid w:val="2B7F4745"/>
    <w:rsid w:val="2BB24484"/>
    <w:rsid w:val="2BCF20EE"/>
    <w:rsid w:val="2BEA0719"/>
    <w:rsid w:val="2BFC2575"/>
    <w:rsid w:val="2CA43435"/>
    <w:rsid w:val="2CA64888"/>
    <w:rsid w:val="2CEA7DCC"/>
    <w:rsid w:val="2DBD1919"/>
    <w:rsid w:val="2EC62544"/>
    <w:rsid w:val="2ED925E3"/>
    <w:rsid w:val="2F2F3D79"/>
    <w:rsid w:val="2F8B61E7"/>
    <w:rsid w:val="306627F9"/>
    <w:rsid w:val="310338F4"/>
    <w:rsid w:val="31193BDA"/>
    <w:rsid w:val="312220E2"/>
    <w:rsid w:val="33183D26"/>
    <w:rsid w:val="33D6087E"/>
    <w:rsid w:val="340A7A25"/>
    <w:rsid w:val="34274571"/>
    <w:rsid w:val="34C22001"/>
    <w:rsid w:val="34D96843"/>
    <w:rsid w:val="34DB376C"/>
    <w:rsid w:val="354B32FF"/>
    <w:rsid w:val="358B3F52"/>
    <w:rsid w:val="359B3E03"/>
    <w:rsid w:val="36505E5E"/>
    <w:rsid w:val="372633C5"/>
    <w:rsid w:val="37492420"/>
    <w:rsid w:val="3810409B"/>
    <w:rsid w:val="38F413BC"/>
    <w:rsid w:val="395E704F"/>
    <w:rsid w:val="3AA92C5C"/>
    <w:rsid w:val="3ACA2A7C"/>
    <w:rsid w:val="3B3D0CDD"/>
    <w:rsid w:val="3B93234E"/>
    <w:rsid w:val="3BFF33E6"/>
    <w:rsid w:val="3D695DB9"/>
    <w:rsid w:val="3DD014E2"/>
    <w:rsid w:val="3DFE6A3F"/>
    <w:rsid w:val="3E0F1049"/>
    <w:rsid w:val="3F4A37E5"/>
    <w:rsid w:val="3F7B2D6B"/>
    <w:rsid w:val="3FE00644"/>
    <w:rsid w:val="40197335"/>
    <w:rsid w:val="4085718A"/>
    <w:rsid w:val="408D115D"/>
    <w:rsid w:val="40FF5E03"/>
    <w:rsid w:val="411E7A9C"/>
    <w:rsid w:val="420958E7"/>
    <w:rsid w:val="42425BDF"/>
    <w:rsid w:val="424A43C6"/>
    <w:rsid w:val="429057C0"/>
    <w:rsid w:val="42A43B66"/>
    <w:rsid w:val="42E10D3E"/>
    <w:rsid w:val="437D79C7"/>
    <w:rsid w:val="43802FF3"/>
    <w:rsid w:val="44827275"/>
    <w:rsid w:val="44B97117"/>
    <w:rsid w:val="45864D3D"/>
    <w:rsid w:val="45A50CD5"/>
    <w:rsid w:val="45C8587B"/>
    <w:rsid w:val="46323738"/>
    <w:rsid w:val="466C7C3C"/>
    <w:rsid w:val="467A2DE5"/>
    <w:rsid w:val="46B42A0C"/>
    <w:rsid w:val="46BE6485"/>
    <w:rsid w:val="46C12A99"/>
    <w:rsid w:val="46EC63E9"/>
    <w:rsid w:val="46EF4DF0"/>
    <w:rsid w:val="47067AC2"/>
    <w:rsid w:val="47097593"/>
    <w:rsid w:val="472B3393"/>
    <w:rsid w:val="47490156"/>
    <w:rsid w:val="47756902"/>
    <w:rsid w:val="47850B66"/>
    <w:rsid w:val="480F698B"/>
    <w:rsid w:val="488021D7"/>
    <w:rsid w:val="4A4A4E5B"/>
    <w:rsid w:val="4AD72A80"/>
    <w:rsid w:val="4AF64C8A"/>
    <w:rsid w:val="4AF93138"/>
    <w:rsid w:val="4B182C41"/>
    <w:rsid w:val="4B526298"/>
    <w:rsid w:val="4B5936AA"/>
    <w:rsid w:val="4BAF2C24"/>
    <w:rsid w:val="4BB07FA2"/>
    <w:rsid w:val="4BB62738"/>
    <w:rsid w:val="4BDA4A09"/>
    <w:rsid w:val="4BE808B3"/>
    <w:rsid w:val="4D4C1682"/>
    <w:rsid w:val="4D570711"/>
    <w:rsid w:val="4D8A4C44"/>
    <w:rsid w:val="4DBC2E94"/>
    <w:rsid w:val="4DC8252A"/>
    <w:rsid w:val="4DDB3749"/>
    <w:rsid w:val="4E3715BC"/>
    <w:rsid w:val="4EA773CC"/>
    <w:rsid w:val="4EE15308"/>
    <w:rsid w:val="50203983"/>
    <w:rsid w:val="505718DF"/>
    <w:rsid w:val="507A7515"/>
    <w:rsid w:val="515F2622"/>
    <w:rsid w:val="52503B9B"/>
    <w:rsid w:val="52E15705"/>
    <w:rsid w:val="53142000"/>
    <w:rsid w:val="544640D3"/>
    <w:rsid w:val="546C2A9E"/>
    <w:rsid w:val="54A60E2C"/>
    <w:rsid w:val="55284354"/>
    <w:rsid w:val="5563742E"/>
    <w:rsid w:val="5638698C"/>
    <w:rsid w:val="564C13A4"/>
    <w:rsid w:val="565835BD"/>
    <w:rsid w:val="56701027"/>
    <w:rsid w:val="56CC4D76"/>
    <w:rsid w:val="576616F1"/>
    <w:rsid w:val="58543F6E"/>
    <w:rsid w:val="58F63853"/>
    <w:rsid w:val="590A0DFE"/>
    <w:rsid w:val="597D20E1"/>
    <w:rsid w:val="598A13E6"/>
    <w:rsid w:val="59AD7291"/>
    <w:rsid w:val="59B3176A"/>
    <w:rsid w:val="59D64093"/>
    <w:rsid w:val="5A6B4A11"/>
    <w:rsid w:val="5B0809A3"/>
    <w:rsid w:val="5B187904"/>
    <w:rsid w:val="5C3679EE"/>
    <w:rsid w:val="5C424E57"/>
    <w:rsid w:val="5CB75C9F"/>
    <w:rsid w:val="5D5D6039"/>
    <w:rsid w:val="5D853F47"/>
    <w:rsid w:val="5E683559"/>
    <w:rsid w:val="5E7B72A3"/>
    <w:rsid w:val="5EEC0249"/>
    <w:rsid w:val="5F0A05A1"/>
    <w:rsid w:val="5F597EE8"/>
    <w:rsid w:val="5F7E77B8"/>
    <w:rsid w:val="5FF87B8B"/>
    <w:rsid w:val="602B582B"/>
    <w:rsid w:val="61FC19AD"/>
    <w:rsid w:val="64080C7C"/>
    <w:rsid w:val="65005295"/>
    <w:rsid w:val="65181CEF"/>
    <w:rsid w:val="653214C2"/>
    <w:rsid w:val="661209C2"/>
    <w:rsid w:val="66AA0200"/>
    <w:rsid w:val="66E81E84"/>
    <w:rsid w:val="66EB13E4"/>
    <w:rsid w:val="67204B7E"/>
    <w:rsid w:val="675845EF"/>
    <w:rsid w:val="67D76C53"/>
    <w:rsid w:val="690E08FE"/>
    <w:rsid w:val="6A0039ED"/>
    <w:rsid w:val="6A732F39"/>
    <w:rsid w:val="6A7C7393"/>
    <w:rsid w:val="6AFF4E74"/>
    <w:rsid w:val="6B7F35FC"/>
    <w:rsid w:val="6C6368A8"/>
    <w:rsid w:val="6CB30AE5"/>
    <w:rsid w:val="6D680BFF"/>
    <w:rsid w:val="6E155830"/>
    <w:rsid w:val="6F0F6AD0"/>
    <w:rsid w:val="70840695"/>
    <w:rsid w:val="70A67251"/>
    <w:rsid w:val="70D77F30"/>
    <w:rsid w:val="70F010DA"/>
    <w:rsid w:val="713E56A2"/>
    <w:rsid w:val="717844EB"/>
    <w:rsid w:val="72103E48"/>
    <w:rsid w:val="72223E96"/>
    <w:rsid w:val="7347291E"/>
    <w:rsid w:val="73B91B46"/>
    <w:rsid w:val="75602388"/>
    <w:rsid w:val="75615720"/>
    <w:rsid w:val="765B7D5B"/>
    <w:rsid w:val="777D1E86"/>
    <w:rsid w:val="77833D02"/>
    <w:rsid w:val="77A8025E"/>
    <w:rsid w:val="78AD2B11"/>
    <w:rsid w:val="78C74E32"/>
    <w:rsid w:val="791400DD"/>
    <w:rsid w:val="7968023E"/>
    <w:rsid w:val="796B7982"/>
    <w:rsid w:val="79C33633"/>
    <w:rsid w:val="7A76488E"/>
    <w:rsid w:val="7A7E71CA"/>
    <w:rsid w:val="7AD13F8D"/>
    <w:rsid w:val="7BD254BC"/>
    <w:rsid w:val="7C5036B8"/>
    <w:rsid w:val="7CF60478"/>
    <w:rsid w:val="7D8D510B"/>
    <w:rsid w:val="7E161C15"/>
    <w:rsid w:val="7E3620A1"/>
    <w:rsid w:val="7E8A58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List"/>
    <w:basedOn w:val="1"/>
    <w:qFormat/>
    <w:uiPriority w:val="0"/>
    <w:pPr>
      <w:ind w:left="283" w:hanging="283"/>
      <w:contextualSpacing/>
    </w:p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Heading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0">
    <w:name w:val="Heading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1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paragraph" w:customStyle="1" w:styleId="12">
    <w:name w:val="B1"/>
    <w:basedOn w:val="5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1</Pages>
  <Words>193</Words>
  <Characters>1106</Characters>
  <Lines>9</Lines>
  <Paragraphs>2</Paragraphs>
  <TotalTime>0</TotalTime>
  <ScaleCrop>false</ScaleCrop>
  <LinksUpToDate>false</LinksUpToDate>
  <CharactersWithSpaces>1297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  <cp:lastModifiedBy>ZTE hfh</cp:lastModifiedBy>
  <dcterms:modified xsi:type="dcterms:W3CDTF">2024-11-08T14:22:52Z</dcterms:modified>
  <dc:title>3GPP TSG-SA1 #42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1A2B63745ED24D29863ED15269745068</vt:lpwstr>
  </property>
</Properties>
</file>